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237" w:rsidRDefault="0090200C">
      <w:pPr>
        <w:rPr>
          <w:rFonts w:ascii="Arial" w:eastAsia="Arial" w:hAnsi="Arial" w:cs="Arial"/>
          <w:b/>
          <w:sz w:val="36"/>
          <w:szCs w:val="36"/>
        </w:rPr>
      </w:pPr>
      <w:bookmarkStart w:id="0" w:name="_heading=h.3znysh7" w:colFirst="0" w:colLast="0"/>
      <w:bookmarkEnd w:id="0"/>
      <w:r>
        <w:rPr>
          <w:rFonts w:ascii="Arial" w:eastAsia="Arial" w:hAnsi="Arial" w:cs="Arial"/>
          <w:b/>
          <w:sz w:val="36"/>
          <w:szCs w:val="36"/>
        </w:rPr>
        <w:t>Framework Schedule 3 (Framework Prices)</w:t>
      </w:r>
    </w:p>
    <w:p w:rsidR="00681237" w:rsidRDefault="0090200C">
      <w:pPr>
        <w:numPr>
          <w:ilvl w:val="0"/>
          <w:numId w:val="1"/>
        </w:numPr>
        <w:pBdr>
          <w:top w:val="nil"/>
          <w:left w:val="nil"/>
          <w:bottom w:val="nil"/>
          <w:right w:val="nil"/>
          <w:between w:val="nil"/>
        </w:pBdr>
        <w:tabs>
          <w:tab w:val="left" w:pos="142"/>
        </w:tabs>
        <w:spacing w:before="120" w:after="240" w:line="240" w:lineRule="auto"/>
        <w:jc w:val="both"/>
      </w:pPr>
      <w:bookmarkStart w:id="1" w:name="_heading=h.gjdgxs" w:colFirst="0" w:colLast="0"/>
      <w:bookmarkEnd w:id="1"/>
      <w:r>
        <w:rPr>
          <w:rFonts w:ascii="Arial" w:eastAsia="Arial" w:hAnsi="Arial" w:cs="Arial"/>
          <w:b/>
          <w:color w:val="000000"/>
          <w:sz w:val="24"/>
          <w:szCs w:val="24"/>
        </w:rPr>
        <w:t>How Framework Prices are used to calculate Call-Off Charges</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681237" w:rsidRDefault="0090200C">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Call-Off Contract; and</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calculated in accordance with the terms of the Call-Off Contract (and, if applicable, Statement of Work) and in particular in accordance with the terms of the Order Form;</w:t>
      </w:r>
      <w:r>
        <w:rPr>
          <w:rFonts w:ascii="Arial" w:eastAsia="Arial" w:hAnsi="Arial" w:cs="Arial"/>
          <w:color w:val="000000"/>
          <w:sz w:val="24"/>
          <w:szCs w:val="24"/>
        </w:rPr>
        <w:t xml:space="preserve"> </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must be honoured by the Supplier for the Contract Period of the Call-Off Contract except where agreed in accordance with 1.2.3</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Call-Off Contract and in particular shall only be subject to Indexa</w:t>
      </w:r>
      <w:r>
        <w:rPr>
          <w:rFonts w:ascii="Arial" w:eastAsia="Arial" w:hAnsi="Arial" w:cs="Arial"/>
          <w:color w:val="000000"/>
          <w:sz w:val="24"/>
          <w:szCs w:val="24"/>
        </w:rPr>
        <w:t>tion where specifically stated in the Order Form;</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 and</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invoiced based upon</w:t>
      </w:r>
    </w:p>
    <w:p w:rsidR="00681237" w:rsidRDefault="0090200C">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accurate reflection of the proportion of each Work Day Supplier Staff have actually worked in providing the Deliverables under and in accordance with the Contract and, if applicable, under each SOW (for example, 3 hours and 30 minutes worked will be in</w:t>
      </w:r>
      <w:r>
        <w:rPr>
          <w:rFonts w:ascii="Arial" w:eastAsia="Arial" w:hAnsi="Arial" w:cs="Arial"/>
          <w:color w:val="000000"/>
          <w:sz w:val="24"/>
          <w:szCs w:val="24"/>
        </w:rPr>
        <w:t>voiced at 3.5 hours). Should a Buyer require an Hourly Rate then the Supplier’s Hourly Rates shall be no greater than the Supplier’s Day Rates divided by 7.5, the number of hours to be worked in a Work Day; and</w:t>
      </w:r>
    </w:p>
    <w:p w:rsidR="00681237" w:rsidRDefault="0090200C">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Deliverables having been satisfactorily s</w:t>
      </w:r>
      <w:r>
        <w:rPr>
          <w:rFonts w:ascii="Arial" w:eastAsia="Arial" w:hAnsi="Arial" w:cs="Arial"/>
          <w:color w:val="000000"/>
          <w:sz w:val="24"/>
          <w:szCs w:val="24"/>
        </w:rPr>
        <w:t>upplied in accordance with the Call-Off Contract and will not require the Buyer to pay any third party for any part of the Deliverables supplied by or on behalf of the Supplier.</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xml:space="preserve">Any variation to the Charges payable under a Call Off Contract must be agreed </w:t>
      </w:r>
      <w:r>
        <w:rPr>
          <w:rFonts w:ascii="Arial" w:eastAsia="Arial" w:hAnsi="Arial" w:cs="Arial"/>
          <w:color w:val="000000"/>
          <w:sz w:val="24"/>
          <w:szCs w:val="24"/>
        </w:rPr>
        <w:t>between the Supplier and the Buyer and implemented using the same procedure for altering Framework Prices in accordance with the provisions of this Framework Schedule 3.</w:t>
      </w:r>
    </w:p>
    <w:p w:rsidR="00681237" w:rsidRDefault="0090200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w:t>
      </w:r>
      <w:r>
        <w:rPr>
          <w:rFonts w:ascii="Arial" w:eastAsia="Arial" w:hAnsi="Arial" w:cs="Arial"/>
          <w:color w:val="000000"/>
          <w:sz w:val="24"/>
          <w:szCs w:val="24"/>
        </w:rPr>
        <w:t xml:space="preserve"> 1 shall be available for use in calculation of Framework Prices in Call Off Contracts.</w:t>
      </w:r>
    </w:p>
    <w:p w:rsidR="00681237" w:rsidRDefault="0090200C">
      <w:pPr>
        <w:numPr>
          <w:ilvl w:val="0"/>
          <w:numId w:val="1"/>
        </w:numPr>
        <w:pBdr>
          <w:top w:val="nil"/>
          <w:left w:val="nil"/>
          <w:bottom w:val="nil"/>
          <w:right w:val="nil"/>
          <w:between w:val="nil"/>
        </w:pBdr>
        <w:tabs>
          <w:tab w:val="left" w:pos="142"/>
        </w:tabs>
        <w:spacing w:before="120" w:after="240" w:line="240" w:lineRule="auto"/>
        <w:jc w:val="both"/>
      </w:pPr>
      <w:bookmarkStart w:id="3" w:name="bookmark=id.3znysh7" w:colFirst="0" w:colLast="0"/>
      <w:bookmarkStart w:id="4" w:name="_heading=h.1fob9te" w:colFirst="0" w:colLast="0"/>
      <w:bookmarkEnd w:id="3"/>
      <w:bookmarkEnd w:id="4"/>
      <w:r>
        <w:rPr>
          <w:rFonts w:ascii="Arial" w:eastAsia="Arial" w:hAnsi="Arial" w:cs="Arial"/>
          <w:b/>
          <w:color w:val="000000"/>
          <w:sz w:val="24"/>
          <w:szCs w:val="24"/>
        </w:rPr>
        <w:lastRenderedPageBreak/>
        <w:t xml:space="preserve">Are costs and expenses included in the Framework </w:t>
      </w:r>
      <w:proofErr w:type="gramStart"/>
      <w:r>
        <w:rPr>
          <w:rFonts w:ascii="Arial" w:eastAsia="Arial" w:hAnsi="Arial" w:cs="Arial"/>
          <w:b/>
          <w:color w:val="000000"/>
          <w:sz w:val="24"/>
          <w:szCs w:val="24"/>
        </w:rPr>
        <w:t>Prices</w:t>
      </w:r>
      <w:proofErr w:type="gramEnd"/>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(and, if applicab</w:t>
      </w:r>
      <w:r>
        <w:rPr>
          <w:rFonts w:ascii="Arial" w:eastAsia="Arial" w:hAnsi="Arial" w:cs="Arial"/>
          <w:color w:val="000000"/>
          <w:sz w:val="24"/>
          <w:szCs w:val="24"/>
        </w:rPr>
        <w:t>le, SOW), the Framework Prices shall include all costs and expenses relating to the provision of Deliverables. No further amounts shall be payable in respect of matters such as:</w:t>
      </w:r>
    </w:p>
    <w:p w:rsidR="00681237" w:rsidRDefault="0090200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w:t>
      </w:r>
    </w:p>
    <w:p w:rsidR="00681237" w:rsidRDefault="0090200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relating to profit, risk, insurance, sup</w:t>
      </w:r>
      <w:r>
        <w:rPr>
          <w:rFonts w:ascii="Arial" w:eastAsia="Arial" w:hAnsi="Arial" w:cs="Arial"/>
          <w:color w:val="000000"/>
          <w:sz w:val="24"/>
          <w:szCs w:val="24"/>
        </w:rPr>
        <w:t>plier intragroup charges or any other overhead costs;</w:t>
      </w:r>
    </w:p>
    <w:p w:rsidR="00681237" w:rsidRDefault="0090200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681237" w:rsidRDefault="0090200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 2 years following the Framewo</w:t>
      </w:r>
      <w:r>
        <w:rPr>
          <w:rFonts w:ascii="Arial" w:eastAsia="Arial" w:hAnsi="Arial" w:cs="Arial"/>
          <w:color w:val="000000"/>
          <w:sz w:val="24"/>
          <w:szCs w:val="24"/>
        </w:rPr>
        <w:t>rk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shall give CCS at least t</w:t>
      </w:r>
      <w:r>
        <w:rPr>
          <w:rFonts w:ascii="Arial" w:eastAsia="Arial" w:hAnsi="Arial" w:cs="Arial"/>
          <w:color w:val="000000"/>
          <w:sz w:val="24"/>
          <w:szCs w:val="24"/>
        </w:rPr>
        <w:t>hree (3) Months' notice in writing prior to a Review Date where it wants to request an increase.  If the Supplier does not give notice in time then it will only be able to request an increase prior to the next Review Date.</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681237" w:rsidRDefault="0090200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i/>
          <w:color w:val="000000"/>
          <w:sz w:val="24"/>
          <w:szCs w:val="24"/>
        </w:rPr>
      </w:pPr>
      <w:r>
        <w:rPr>
          <w:rFonts w:ascii="Arial" w:eastAsia="Arial" w:hAnsi="Arial" w:cs="Arial"/>
          <w:color w:val="000000"/>
          <w:sz w:val="24"/>
          <w:szCs w:val="24"/>
        </w:rPr>
        <w:t>a breakdown of the profit and cost components that comprise the relevant Framework Price;</w:t>
      </w:r>
    </w:p>
    <w:p w:rsidR="00681237" w:rsidRDefault="0090200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b/>
          <w:i/>
          <w:color w:val="000000"/>
          <w:sz w:val="24"/>
          <w:szCs w:val="24"/>
        </w:rPr>
        <w:t xml:space="preserve">quantitative </w:t>
      </w:r>
      <w:r>
        <w:rPr>
          <w:rFonts w:ascii="Arial" w:eastAsia="Arial" w:hAnsi="Arial" w:cs="Arial"/>
          <w:color w:val="000000"/>
          <w:sz w:val="24"/>
          <w:szCs w:val="24"/>
        </w:rPr>
        <w:t>details of the movement in the different identified cost components of the relevant Framework Price;</w:t>
      </w:r>
    </w:p>
    <w:p w:rsidR="00681237" w:rsidRDefault="0090200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reasons that explain </w:t>
      </w:r>
      <w:r>
        <w:t xml:space="preserve">     </w:t>
      </w:r>
      <w:r>
        <w:rPr>
          <w:rFonts w:ascii="Arial" w:eastAsia="Arial" w:hAnsi="Arial" w:cs="Arial"/>
          <w:color w:val="000000"/>
          <w:sz w:val="24"/>
          <w:szCs w:val="24"/>
        </w:rPr>
        <w:t>the movement in the different identified cost components of the relevant Framework Price;</w:t>
      </w:r>
    </w:p>
    <w:p w:rsidR="00681237" w:rsidRDefault="0090200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rsidR="00681237" w:rsidRDefault="0090200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w:t>
      </w:r>
      <w:r>
        <w:rPr>
          <w:rFonts w:ascii="Arial" w:eastAsia="Arial" w:hAnsi="Arial" w:cs="Arial"/>
          <w:color w:val="000000"/>
          <w:sz w:val="24"/>
          <w:szCs w:val="24"/>
        </w:rPr>
        <w:t>levant Framework Price is no greater than that applying to Framework Prices using the same pricing mechanism as at the Framework Start Date.</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r>
        <w:rPr>
          <w:rFonts w:ascii="Arial" w:eastAsia="Arial" w:hAnsi="Arial" w:cs="Arial"/>
          <w:color w:val="000000"/>
          <w:sz w:val="24"/>
          <w:szCs w:val="24"/>
        </w:rPr>
        <w:t>.</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Where CCS approves an increase then it will be implemented from the first (1st) Working Day following the relevant Review Date or such later date as CCS may determine at its sole discretion and Annex 1 of this Framework Schedule 3 shall be updated accord</w:t>
      </w:r>
      <w:r>
        <w:rPr>
          <w:rFonts w:ascii="Arial" w:eastAsia="Arial" w:hAnsi="Arial" w:cs="Arial"/>
          <w:color w:val="000000"/>
          <w:sz w:val="24"/>
          <w:szCs w:val="24"/>
        </w:rPr>
        <w:t>ingly.</w:t>
      </w:r>
    </w:p>
    <w:p w:rsidR="00681237" w:rsidRDefault="0090200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 of the Core Terms;</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of the Core Terms; </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w:t>
      </w:r>
      <w:r>
        <w:rPr>
          <w:rFonts w:ascii="Arial" w:eastAsia="Arial" w:hAnsi="Arial" w:cs="Arial"/>
          <w:color w:val="000000"/>
          <w:sz w:val="24"/>
          <w:szCs w:val="24"/>
        </w:rPr>
        <w:t>nd</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indexation, where Annex 1 of this Framework Schedule 3 states that a particular Framework Price or any component is “subject to Indexation” in which event Paragraph 6 below shall apply.</w:t>
      </w:r>
    </w:p>
    <w:p w:rsidR="00681237" w:rsidRDefault="0090200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When the Framework Prices are linked to inflation </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the Framework Prices are stated to be "subject to Indexation" they shall be adjusted in line with changes in the </w:t>
      </w:r>
      <w:hyperlink r:id="rId8">
        <w:r>
          <w:rPr>
            <w:rFonts w:ascii="Arial" w:eastAsia="Arial" w:hAnsi="Arial" w:cs="Arial"/>
            <w:color w:val="0000FF"/>
            <w:sz w:val="24"/>
            <w:szCs w:val="24"/>
            <w:u w:val="single"/>
          </w:rPr>
          <w:t>Services Producer Pric</w:t>
        </w:r>
        <w:r>
          <w:rPr>
            <w:rFonts w:ascii="Arial" w:eastAsia="Arial" w:hAnsi="Arial" w:cs="Arial"/>
            <w:color w:val="0000FF"/>
            <w:sz w:val="24"/>
            <w:szCs w:val="24"/>
            <w:u w:val="single"/>
          </w:rPr>
          <w:t>e Index (‘SPPI’)</w:t>
        </w:r>
      </w:hyperlink>
      <w:r>
        <w:rPr>
          <w:rFonts w:ascii="Arial" w:eastAsia="Arial" w:hAnsi="Arial" w:cs="Arial"/>
          <w:color w:val="000000"/>
          <w:sz w:val="24"/>
          <w:szCs w:val="24"/>
        </w:rPr>
        <w:t xml:space="preserve"> Information and Communication Services HQVC.  All other costs, expenses, fees and charges shall not be adjusted to take account of any inflation, change to exchange rate, change to interest rate or any other factor or element which might o</w:t>
      </w:r>
      <w:r>
        <w:rPr>
          <w:rFonts w:ascii="Arial" w:eastAsia="Arial" w:hAnsi="Arial" w:cs="Arial"/>
          <w:color w:val="000000"/>
          <w:sz w:val="24"/>
          <w:szCs w:val="24"/>
        </w:rPr>
        <w:t>therwise increase the cost to the Supplier.</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color w:val="000000"/>
          <w:sz w:val="24"/>
          <w:szCs w:val="24"/>
        </w:rPr>
        <w:t>2</w:t>
      </w:r>
      <w:r>
        <w:rPr>
          <w:rFonts w:ascii="Arial" w:eastAsia="Arial" w:hAnsi="Arial" w:cs="Arial"/>
          <w:color w:val="000000"/>
          <w:sz w:val="24"/>
          <w:szCs w:val="24"/>
        </w:rPr>
        <w:t xml:space="preserve"> years following the Framework Start Date.  </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w:t>
      </w:r>
      <w:proofErr w:type="gramStart"/>
      <w:r>
        <w:rPr>
          <w:rFonts w:ascii="Arial" w:eastAsia="Arial" w:hAnsi="Arial" w:cs="Arial"/>
          <w:color w:val="000000"/>
          <w:sz w:val="24"/>
          <w:szCs w:val="24"/>
        </w:rPr>
        <w:t>Framework</w:t>
      </w:r>
      <w:proofErr w:type="gramEnd"/>
      <w:r>
        <w:rPr>
          <w:rFonts w:ascii="Arial" w:eastAsia="Arial" w:hAnsi="Arial" w:cs="Arial"/>
          <w:color w:val="000000"/>
          <w:sz w:val="24"/>
          <w:szCs w:val="24"/>
        </w:rPr>
        <w:t xml:space="preserve"> Price is subject to Indexation then it will be indexed on the date which is </w:t>
      </w:r>
      <w:r>
        <w:rPr>
          <w:rFonts w:ascii="Arial" w:eastAsia="Arial" w:hAnsi="Arial" w:cs="Arial"/>
          <w:b/>
          <w:color w:val="000000"/>
          <w:sz w:val="24"/>
          <w:szCs w:val="24"/>
        </w:rPr>
        <w:t xml:space="preserve">2 </w:t>
      </w:r>
      <w:r>
        <w:rPr>
          <w:rFonts w:ascii="Arial" w:eastAsia="Arial" w:hAnsi="Arial" w:cs="Arial"/>
          <w:color w:val="000000"/>
          <w:sz w:val="24"/>
          <w:szCs w:val="24"/>
        </w:rPr>
        <w:t>years after the Framework Start Date to reflect the percentage change in the SPPI Information and Communication Services HQVC index since the Framework Start Date.  They shall be indexed on each following yearly anniversary to reflect the percentage change</w:t>
      </w:r>
      <w:r>
        <w:rPr>
          <w:rFonts w:ascii="Arial" w:eastAsia="Arial" w:hAnsi="Arial" w:cs="Arial"/>
          <w:color w:val="000000"/>
          <w:sz w:val="24"/>
          <w:szCs w:val="24"/>
        </w:rPr>
        <w:t xml:space="preserve"> in the SPPI Information and Communication Services HQVC index since the previous change.</w:t>
      </w:r>
    </w:p>
    <w:p w:rsidR="00681237" w:rsidRDefault="0090200C">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SPPI Information and Communication Services HQVC Index:</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the</w:t>
      </w:r>
      <w:r>
        <w:rPr>
          <w:rFonts w:ascii="Arial" w:eastAsia="Arial" w:hAnsi="Arial" w:cs="Arial"/>
          <w:color w:val="000000"/>
          <w:sz w:val="24"/>
          <w:szCs w:val="24"/>
        </w:rPr>
        <w:t xml:space="preserve">n the indexation calculation shall also be updated unless CCS and the Supplier agree otherwise; </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is no longer published, CCS and the Supplier shall agree a fair and reasonable replacement that will have substantially the same effect.</w:t>
      </w:r>
    </w:p>
    <w:p w:rsidR="00681237" w:rsidRDefault="00681237">
      <w:pPr>
        <w:pBdr>
          <w:top w:val="nil"/>
          <w:left w:val="nil"/>
          <w:bottom w:val="nil"/>
          <w:right w:val="nil"/>
          <w:between w:val="nil"/>
        </w:pBdr>
        <w:tabs>
          <w:tab w:val="left" w:pos="1985"/>
          <w:tab w:val="left" w:pos="2127"/>
        </w:tabs>
        <w:spacing w:before="120" w:after="120" w:line="240" w:lineRule="auto"/>
        <w:ind w:left="1980"/>
        <w:rPr>
          <w:rFonts w:ascii="Arial" w:eastAsia="Arial" w:hAnsi="Arial" w:cs="Arial"/>
          <w:color w:val="000000"/>
          <w:sz w:val="24"/>
          <w:szCs w:val="24"/>
        </w:rPr>
      </w:pPr>
    </w:p>
    <w:p w:rsidR="00681237" w:rsidRDefault="0090200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you will be reimbursed for travel and subsistence</w:t>
      </w:r>
    </w:p>
    <w:p w:rsidR="00681237" w:rsidRDefault="0090200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Expenses shall only be recoverable where:</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Capped Time and Materials pricing mechanism is used; and</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681237" w:rsidRDefault="0090200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they are Reimbursable Expenses and are supported by Supporting Documentation.</w:t>
      </w:r>
    </w:p>
    <w:p w:rsidR="00681237" w:rsidRDefault="00681237">
      <w:pPr>
        <w:pBdr>
          <w:top w:val="nil"/>
          <w:left w:val="nil"/>
          <w:bottom w:val="nil"/>
          <w:right w:val="nil"/>
          <w:between w:val="nil"/>
        </w:pBdr>
        <w:tabs>
          <w:tab w:val="left" w:pos="1985"/>
          <w:tab w:val="left" w:pos="2127"/>
        </w:tabs>
        <w:spacing w:before="120" w:after="120" w:line="240" w:lineRule="auto"/>
        <w:ind w:left="990"/>
        <w:jc w:val="both"/>
        <w:rPr>
          <w:rFonts w:ascii="Arial" w:eastAsia="Arial" w:hAnsi="Arial" w:cs="Arial"/>
          <w:color w:val="000000"/>
          <w:sz w:val="24"/>
          <w:szCs w:val="24"/>
        </w:rPr>
      </w:pPr>
    </w:p>
    <w:p w:rsidR="00681237" w:rsidRDefault="0090200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 xml:space="preserve"> The Buyer shall provide a copy of their current expenses policy to the </w:t>
      </w:r>
      <w:proofErr w:type="gramStart"/>
      <w:r>
        <w:rPr>
          <w:rFonts w:ascii="Arial" w:eastAsia="Arial" w:hAnsi="Arial" w:cs="Arial"/>
          <w:color w:val="000000"/>
          <w:sz w:val="24"/>
          <w:szCs w:val="24"/>
        </w:rPr>
        <w:t>Supplier  upon</w:t>
      </w:r>
      <w:proofErr w:type="gramEnd"/>
      <w:r>
        <w:rPr>
          <w:rFonts w:ascii="Arial" w:eastAsia="Arial" w:hAnsi="Arial" w:cs="Arial"/>
          <w:color w:val="000000"/>
          <w:sz w:val="24"/>
          <w:szCs w:val="24"/>
        </w:rPr>
        <w:t xml:space="preserve"> request.</w:t>
      </w:r>
    </w:p>
    <w:p w:rsidR="00681237" w:rsidRDefault="00681237">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highlight w:val="yellow"/>
        </w:rPr>
      </w:pPr>
    </w:p>
    <w:p w:rsidR="00681237" w:rsidRDefault="00681237">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1436FE" w:rsidRDefault="0090200C">
      <w:pPr>
        <w:rPr>
          <w:rFonts w:ascii="Arial" w:eastAsia="Arial" w:hAnsi="Arial" w:cs="Arial"/>
          <w:b/>
          <w:sz w:val="36"/>
          <w:szCs w:val="36"/>
        </w:rPr>
      </w:pPr>
      <w:bookmarkStart w:id="7" w:name="_heading=h.1t3h5sf" w:colFirst="0" w:colLast="0"/>
      <w:bookmarkEnd w:id="7"/>
      <w:r>
        <w:br w:type="page"/>
      </w:r>
      <w:r>
        <w:rPr>
          <w:rFonts w:ascii="Arial" w:eastAsia="Arial" w:hAnsi="Arial" w:cs="Arial"/>
          <w:b/>
          <w:sz w:val="36"/>
          <w:szCs w:val="36"/>
        </w:rPr>
        <w:lastRenderedPageBreak/>
        <w:t>Annex 1: Rates and Prices</w:t>
      </w:r>
    </w:p>
    <w:p w:rsidR="001436FE" w:rsidRPr="001436FE" w:rsidRDefault="001436FE">
      <w:pPr>
        <w:rPr>
          <w:rFonts w:ascii="Arial" w:eastAsia="Arial" w:hAnsi="Arial" w:cs="Arial"/>
          <w:b/>
          <w:sz w:val="24"/>
          <w:szCs w:val="24"/>
        </w:rPr>
      </w:pPr>
      <w:r w:rsidRPr="001436FE">
        <w:rPr>
          <w:rFonts w:ascii="Arial" w:eastAsia="Arial" w:hAnsi="Arial" w:cs="Arial"/>
          <w:b/>
          <w:sz w:val="24"/>
          <w:szCs w:val="24"/>
        </w:rPr>
        <w:t>Redacted under FOIA section 43, Commercial Interests</w:t>
      </w:r>
    </w:p>
    <w:p w:rsidR="00681237" w:rsidRDefault="0090200C">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Supplier Framework Price - Attachment 3 – Day Rates</w:t>
      </w:r>
    </w:p>
    <w:p w:rsidR="00681237" w:rsidRDefault="0090200C">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681237" w:rsidRDefault="0090200C">
      <w:p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color w:val="000000"/>
          <w:sz w:val="24"/>
          <w:szCs w:val="24"/>
        </w:rPr>
        <w:t>The rates below shall be subject to variation by way of Indexation</w:t>
      </w:r>
    </w:p>
    <w:tbl>
      <w:tblPr>
        <w:tblStyle w:val="a6"/>
        <w:tblW w:w="9041"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1897"/>
        <w:gridCol w:w="2694"/>
      </w:tblGrid>
      <w:tr w:rsidR="00681237">
        <w:tc>
          <w:tcPr>
            <w:tcW w:w="4450" w:type="dxa"/>
            <w:shd w:val="clear" w:color="auto" w:fill="548DD4"/>
          </w:tcPr>
          <w:p w:rsidR="00681237" w:rsidRDefault="0090200C">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Attachment 3 Version</w:t>
            </w:r>
          </w:p>
        </w:tc>
        <w:tc>
          <w:tcPr>
            <w:tcW w:w="1897" w:type="dxa"/>
            <w:shd w:val="clear" w:color="auto" w:fill="548DD4"/>
          </w:tcPr>
          <w:p w:rsidR="00681237" w:rsidRDefault="0090200C">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Variation Date (If applicable)</w:t>
            </w:r>
          </w:p>
        </w:tc>
        <w:tc>
          <w:tcPr>
            <w:tcW w:w="2694" w:type="dxa"/>
            <w:shd w:val="clear" w:color="auto" w:fill="548DD4"/>
          </w:tcPr>
          <w:p w:rsidR="00681237" w:rsidRDefault="0090200C">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Effective from date</w:t>
            </w:r>
          </w:p>
        </w:tc>
      </w:tr>
      <w:tr w:rsidR="00681237">
        <w:tc>
          <w:tcPr>
            <w:tcW w:w="4450"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[embed Framework Tender attachment 3]</w:t>
            </w:r>
          </w:p>
        </w:tc>
        <w:tc>
          <w:tcPr>
            <w:tcW w:w="1897"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N/A</w:t>
            </w:r>
          </w:p>
        </w:tc>
        <w:tc>
          <w:tcPr>
            <w:tcW w:w="2694"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[dd/mm/</w:t>
            </w:r>
            <w:proofErr w:type="spellStart"/>
            <w:r>
              <w:rPr>
                <w:rFonts w:ascii="Arial" w:eastAsia="Arial" w:hAnsi="Arial" w:cs="Arial"/>
                <w:color w:val="000000"/>
                <w:sz w:val="24"/>
                <w:szCs w:val="24"/>
              </w:rPr>
              <w:t>yyyy</w:t>
            </w:r>
            <w:proofErr w:type="spellEnd"/>
            <w:r>
              <w:rPr>
                <w:rFonts w:ascii="Arial" w:eastAsia="Arial" w:hAnsi="Arial" w:cs="Arial"/>
                <w:color w:val="000000"/>
                <w:sz w:val="24"/>
                <w:szCs w:val="24"/>
              </w:rPr>
              <w:t>]</w:t>
            </w:r>
          </w:p>
        </w:tc>
      </w:tr>
      <w:tr w:rsidR="00681237">
        <w:tc>
          <w:tcPr>
            <w:tcW w:w="4450"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[embed updated attachment 3]</w:t>
            </w:r>
          </w:p>
        </w:tc>
        <w:tc>
          <w:tcPr>
            <w:tcW w:w="1897"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[dd/mm/</w:t>
            </w:r>
            <w:proofErr w:type="spellStart"/>
            <w:r>
              <w:rPr>
                <w:rFonts w:ascii="Arial" w:eastAsia="Arial" w:hAnsi="Arial" w:cs="Arial"/>
                <w:color w:val="000000"/>
                <w:sz w:val="24"/>
                <w:szCs w:val="24"/>
              </w:rPr>
              <w:t>yyyy</w:t>
            </w:r>
            <w:proofErr w:type="spellEnd"/>
            <w:r>
              <w:rPr>
                <w:rFonts w:ascii="Arial" w:eastAsia="Arial" w:hAnsi="Arial" w:cs="Arial"/>
                <w:color w:val="000000"/>
                <w:sz w:val="24"/>
                <w:szCs w:val="24"/>
              </w:rPr>
              <w:t>]</w:t>
            </w:r>
          </w:p>
        </w:tc>
        <w:tc>
          <w:tcPr>
            <w:tcW w:w="2694"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[dd/mm/</w:t>
            </w:r>
            <w:proofErr w:type="spellStart"/>
            <w:r>
              <w:rPr>
                <w:rFonts w:ascii="Arial" w:eastAsia="Arial" w:hAnsi="Arial" w:cs="Arial"/>
                <w:color w:val="000000"/>
                <w:sz w:val="24"/>
                <w:szCs w:val="24"/>
              </w:rPr>
              <w:t>yyyy</w:t>
            </w:r>
            <w:proofErr w:type="spellEnd"/>
            <w:r>
              <w:rPr>
                <w:rFonts w:ascii="Arial" w:eastAsia="Arial" w:hAnsi="Arial" w:cs="Arial"/>
                <w:color w:val="000000"/>
                <w:sz w:val="24"/>
                <w:szCs w:val="24"/>
              </w:rPr>
              <w:t>]</w:t>
            </w:r>
          </w:p>
        </w:tc>
      </w:tr>
      <w:tr w:rsidR="00681237">
        <w:tc>
          <w:tcPr>
            <w:tcW w:w="4450"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[embed updated attachment 3]</w:t>
            </w:r>
          </w:p>
        </w:tc>
        <w:tc>
          <w:tcPr>
            <w:tcW w:w="1897"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[dd/mm/</w:t>
            </w:r>
            <w:proofErr w:type="spellStart"/>
            <w:r>
              <w:rPr>
                <w:rFonts w:ascii="Arial" w:eastAsia="Arial" w:hAnsi="Arial" w:cs="Arial"/>
                <w:color w:val="000000"/>
                <w:sz w:val="24"/>
                <w:szCs w:val="24"/>
              </w:rPr>
              <w:t>yyyy</w:t>
            </w:r>
            <w:proofErr w:type="spellEnd"/>
            <w:r>
              <w:rPr>
                <w:rFonts w:ascii="Arial" w:eastAsia="Arial" w:hAnsi="Arial" w:cs="Arial"/>
                <w:color w:val="000000"/>
                <w:sz w:val="24"/>
                <w:szCs w:val="24"/>
              </w:rPr>
              <w:t>]</w:t>
            </w:r>
          </w:p>
        </w:tc>
        <w:tc>
          <w:tcPr>
            <w:tcW w:w="2694"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[dd/mm/</w:t>
            </w:r>
            <w:proofErr w:type="spellStart"/>
            <w:r>
              <w:rPr>
                <w:rFonts w:ascii="Arial" w:eastAsia="Arial" w:hAnsi="Arial" w:cs="Arial"/>
                <w:color w:val="000000"/>
                <w:sz w:val="24"/>
                <w:szCs w:val="24"/>
              </w:rPr>
              <w:t>yyyy</w:t>
            </w:r>
            <w:proofErr w:type="spellEnd"/>
            <w:r>
              <w:rPr>
                <w:rFonts w:ascii="Arial" w:eastAsia="Arial" w:hAnsi="Arial" w:cs="Arial"/>
                <w:color w:val="000000"/>
                <w:sz w:val="24"/>
                <w:szCs w:val="24"/>
              </w:rPr>
              <w:t>]</w:t>
            </w:r>
          </w:p>
        </w:tc>
      </w:tr>
    </w:tbl>
    <w:p w:rsidR="00681237" w:rsidRDefault="0090200C">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Framework Price Caps</w:t>
      </w:r>
    </w:p>
    <w:p w:rsidR="00681237" w:rsidRDefault="0090200C">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Supplier Framework Price (attachment 3) shall be capped at the following rate for the first two (2) years from the Framework Start Date, after which they shall be subject to variation by way of Indexation</w:t>
      </w:r>
    </w:p>
    <w:tbl>
      <w:tblPr>
        <w:tblStyle w:val="a7"/>
        <w:tblW w:w="9041"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45"/>
        <w:gridCol w:w="2552"/>
        <w:gridCol w:w="1843"/>
        <w:gridCol w:w="1701"/>
      </w:tblGrid>
      <w:tr w:rsidR="00681237">
        <w:tc>
          <w:tcPr>
            <w:tcW w:w="2945" w:type="dxa"/>
            <w:shd w:val="clear" w:color="auto" w:fill="548DD4"/>
          </w:tcPr>
          <w:p w:rsidR="00681237" w:rsidRDefault="0090200C">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Cap</w:t>
            </w:r>
          </w:p>
        </w:tc>
        <w:tc>
          <w:tcPr>
            <w:tcW w:w="2552" w:type="dxa"/>
            <w:shd w:val="clear" w:color="auto" w:fill="548DD4"/>
          </w:tcPr>
          <w:p w:rsidR="00681237" w:rsidRDefault="0090200C">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Cap (£) for</w:t>
            </w:r>
            <w:r>
              <w:rPr>
                <w:rFonts w:ascii="Arial" w:eastAsia="Arial" w:hAnsi="Arial" w:cs="Arial"/>
                <w:b/>
                <w:color w:val="000000"/>
                <w:sz w:val="24"/>
                <w:szCs w:val="24"/>
              </w:rPr>
              <w:t xml:space="preserve"> Years 1 &amp; 2</w:t>
            </w:r>
          </w:p>
        </w:tc>
        <w:tc>
          <w:tcPr>
            <w:tcW w:w="1843" w:type="dxa"/>
            <w:shd w:val="clear" w:color="auto" w:fill="548DD4"/>
          </w:tcPr>
          <w:p w:rsidR="00681237" w:rsidRDefault="0090200C">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Year 3 Fixed Framework Price Cap (£)</w:t>
            </w:r>
          </w:p>
        </w:tc>
        <w:tc>
          <w:tcPr>
            <w:tcW w:w="1701" w:type="dxa"/>
            <w:shd w:val="clear" w:color="auto" w:fill="548DD4"/>
          </w:tcPr>
          <w:p w:rsidR="00681237" w:rsidRDefault="0090200C">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 xml:space="preserve">Year 4 Fixed Framework Price Cap (£) </w:t>
            </w:r>
          </w:p>
        </w:tc>
      </w:tr>
      <w:tr w:rsidR="00681237">
        <w:tc>
          <w:tcPr>
            <w:tcW w:w="2945"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UK National Day Rates</w:t>
            </w:r>
          </w:p>
        </w:tc>
        <w:tc>
          <w:tcPr>
            <w:tcW w:w="2552" w:type="dxa"/>
            <w:shd w:val="clear" w:color="auto" w:fill="FFFFFF"/>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£1100</w:t>
            </w:r>
          </w:p>
        </w:tc>
        <w:tc>
          <w:tcPr>
            <w:tcW w:w="1843" w:type="dxa"/>
            <w:shd w:val="clear" w:color="auto" w:fill="FFFFFF"/>
          </w:tcPr>
          <w:p w:rsidR="00681237" w:rsidRDefault="00681237">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1701" w:type="dxa"/>
            <w:shd w:val="clear" w:color="auto" w:fill="FFFFFF"/>
          </w:tcPr>
          <w:p w:rsidR="00681237" w:rsidRDefault="0068123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681237">
        <w:tc>
          <w:tcPr>
            <w:tcW w:w="2945" w:type="dxa"/>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London Day Rates</w:t>
            </w:r>
          </w:p>
        </w:tc>
        <w:tc>
          <w:tcPr>
            <w:tcW w:w="2552" w:type="dxa"/>
            <w:shd w:val="clear" w:color="auto" w:fill="FFFFFF"/>
          </w:tcPr>
          <w:p w:rsidR="00681237" w:rsidRDefault="0090200C">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£1300</w:t>
            </w:r>
          </w:p>
        </w:tc>
        <w:tc>
          <w:tcPr>
            <w:tcW w:w="1843" w:type="dxa"/>
            <w:shd w:val="clear" w:color="auto" w:fill="FFFFFF"/>
          </w:tcPr>
          <w:p w:rsidR="00681237" w:rsidRDefault="00681237">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1701" w:type="dxa"/>
            <w:shd w:val="clear" w:color="auto" w:fill="FFFFFF"/>
          </w:tcPr>
          <w:p w:rsidR="00681237" w:rsidRDefault="00681237">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681237" w:rsidRDefault="00681237">
      <w:pPr>
        <w:rPr>
          <w:rFonts w:ascii="Arial" w:eastAsia="Arial" w:hAnsi="Arial" w:cs="Arial"/>
          <w:b/>
          <w:smallCaps/>
          <w:sz w:val="24"/>
          <w:szCs w:val="24"/>
        </w:rPr>
      </w:pPr>
      <w:bookmarkStart w:id="8" w:name="_heading=h.4d34og8" w:colFirst="0" w:colLast="0"/>
      <w:bookmarkEnd w:id="8"/>
    </w:p>
    <w:p w:rsidR="00681237" w:rsidRDefault="00681237">
      <w:pPr>
        <w:spacing w:line="240" w:lineRule="auto"/>
        <w:rPr>
          <w:rFonts w:ascii="Arial" w:eastAsia="Arial" w:hAnsi="Arial" w:cs="Arial"/>
          <w:b/>
          <w:sz w:val="24"/>
          <w:szCs w:val="24"/>
        </w:rPr>
      </w:pPr>
      <w:bookmarkStart w:id="9" w:name="_GoBack"/>
      <w:bookmarkEnd w:id="9"/>
    </w:p>
    <w:sectPr w:rsidR="00681237">
      <w:headerReference w:type="even" r:id="rId9"/>
      <w:headerReference w:type="default" r:id="rId10"/>
      <w:footerReference w:type="even" r:id="rId11"/>
      <w:footerReference w:type="default" r:id="rId12"/>
      <w:headerReference w:type="first" r:id="rId13"/>
      <w:footerReference w:type="first" r:id="rId14"/>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00C" w:rsidRDefault="0090200C">
      <w:pPr>
        <w:spacing w:after="0" w:line="240" w:lineRule="auto"/>
      </w:pPr>
      <w:r>
        <w:separator/>
      </w:r>
    </w:p>
  </w:endnote>
  <w:endnote w:type="continuationSeparator" w:id="0">
    <w:p w:rsidR="0090200C" w:rsidRDefault="0090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237" w:rsidRDefault="0068123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237" w:rsidRDefault="0090200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RM6345</w:t>
    </w:r>
    <w:r>
      <w:rPr>
        <w:rFonts w:ascii="Arial" w:eastAsia="Arial" w:hAnsi="Arial" w:cs="Arial"/>
        <w:sz w:val="20"/>
        <w:szCs w:val="20"/>
      </w:rPr>
      <w:tab/>
    </w:r>
    <w:r>
      <w:rPr>
        <w:rFonts w:ascii="Arial" w:eastAsia="Arial" w:hAnsi="Arial" w:cs="Arial"/>
        <w:sz w:val="20"/>
        <w:szCs w:val="20"/>
      </w:rPr>
      <w:t xml:space="preserve">                                           </w:t>
    </w:r>
  </w:p>
  <w:p w:rsidR="00681237" w:rsidRDefault="009020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436FE">
      <w:rPr>
        <w:rFonts w:ascii="Arial" w:eastAsia="Arial" w:hAnsi="Arial" w:cs="Arial"/>
        <w:color w:val="000000"/>
        <w:sz w:val="20"/>
        <w:szCs w:val="20"/>
      </w:rPr>
      <w:fldChar w:fldCharType="separate"/>
    </w:r>
    <w:r w:rsidR="001436F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81237" w:rsidRDefault="0090200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237" w:rsidRDefault="0090200C">
    <w:pPr>
      <w:tabs>
        <w:tab w:val="center" w:pos="4513"/>
        <w:tab w:val="right" w:pos="9026"/>
      </w:tabs>
      <w:spacing w:after="0"/>
    </w:pPr>
    <w:r>
      <w:t>Framework Ref: RM</w:t>
    </w:r>
    <w:r>
      <w:tab/>
      <w:t xml:space="preserve">                                           </w:t>
    </w:r>
  </w:p>
  <w:p w:rsidR="00681237" w:rsidRDefault="009020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81237" w:rsidRDefault="0090200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00C" w:rsidRDefault="0090200C">
      <w:pPr>
        <w:spacing w:after="0" w:line="240" w:lineRule="auto"/>
      </w:pPr>
      <w:r>
        <w:separator/>
      </w:r>
    </w:p>
  </w:footnote>
  <w:footnote w:type="continuationSeparator" w:id="0">
    <w:p w:rsidR="0090200C" w:rsidRDefault="009020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237" w:rsidRDefault="0068123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237" w:rsidRDefault="0090200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681237" w:rsidRDefault="009020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237" w:rsidRDefault="0090200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681237" w:rsidRDefault="0090200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E0860"/>
    <w:multiLevelType w:val="multilevel"/>
    <w:tmpl w:val="F6628F5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0F71E12"/>
    <w:multiLevelType w:val="multilevel"/>
    <w:tmpl w:val="873CABC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1210"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237"/>
    <w:rsid w:val="001436FE"/>
    <w:rsid w:val="00681237"/>
    <w:rsid w:val="009020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E5261"/>
  <w15:docId w15:val="{287F0E3D-A379-4924-BDEA-5985E014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64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6032B8"/>
    <w:rPr>
      <w:color w:val="605E5C"/>
      <w:shd w:val="clear" w:color="auto" w:fill="E1DFDD"/>
    </w:rPr>
  </w:style>
  <w:style w:type="character" w:styleId="FollowedHyperlink">
    <w:name w:val="FollowedHyperlink"/>
    <w:basedOn w:val="DefaultParagraphFont"/>
    <w:uiPriority w:val="99"/>
    <w:semiHidden/>
    <w:unhideWhenUsed/>
    <w:rsid w:val="006032B8"/>
    <w:rPr>
      <w:color w:val="800080" w:themeColor="followedHyperlink"/>
      <w:u w:val="single"/>
    </w:r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ons.gov.uk/economy/inflationandpriceindices/datasets/servicesproducerpriceindexspp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5gq6SLA76+RPlqFx6mVQDUv55g==">CgMxLjAyCWguM3pueXNoNzIIaC5namRneHMyCWguMzBqMHpsbDIKaWQuM3pueXNoNzIJaC4xZm9iOXRlMgloLjJldDkycDAyCWguM2R5NnZrbTIJaC4xdDNoNXNmMgloLjRkMzRvZzg4AHIhMW1CVUNUbUJuRDFHenhaVDFIYWhUdC1EWjk2V0pWRVZh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1225</Words>
  <Characters>6988</Characters>
  <Application>Microsoft Office Word</Application>
  <DocSecurity>0</DocSecurity>
  <Lines>58</Lines>
  <Paragraphs>16</Paragraphs>
  <ScaleCrop>false</ScaleCrop>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 Kendal</dc:creator>
  <cp:lastModifiedBy>leah morrow</cp:lastModifiedBy>
  <cp:revision>2</cp:revision>
  <dcterms:created xsi:type="dcterms:W3CDTF">2024-05-17T08:40:00Z</dcterms:created>
  <dcterms:modified xsi:type="dcterms:W3CDTF">2024-12-13T14:23:00Z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